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黑体"/>
          <w:b/>
          <w:bCs w:val="0"/>
          <w:sz w:val="30"/>
          <w:szCs w:val="30"/>
          <w:lang w:val="en-US" w:eastAsia="zh-CN"/>
        </w:rPr>
      </w:pPr>
      <w:r>
        <w:rPr>
          <w:rFonts w:hint="eastAsia" w:ascii="黑体" w:hAnsi="黑体" w:eastAsia="黑体" w:cs="黑体"/>
          <w:b/>
          <w:bCs w:val="0"/>
          <w:sz w:val="30"/>
          <w:szCs w:val="30"/>
        </w:rPr>
        <w:t>江西旅游商贸职业学院</w:t>
      </w:r>
      <w:r>
        <w:rPr>
          <w:rFonts w:hint="eastAsia" w:ascii="黑体" w:hAnsi="黑体" w:eastAsia="黑体" w:cs="黑体"/>
          <w:b/>
          <w:bCs w:val="0"/>
          <w:sz w:val="30"/>
          <w:szCs w:val="30"/>
          <w:lang w:val="en-US" w:eastAsia="zh-CN"/>
        </w:rPr>
        <w:t>国际商务学院</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黑体"/>
          <w:b/>
          <w:bCs w:val="0"/>
          <w:sz w:val="30"/>
          <w:szCs w:val="30"/>
          <w:lang w:val="en-US" w:eastAsia="zh-CN"/>
        </w:rPr>
      </w:pPr>
      <w:r>
        <w:rPr>
          <w:rFonts w:hint="eastAsia" w:ascii="黑体" w:hAnsi="黑体" w:eastAsia="黑体" w:cs="黑体"/>
          <w:b/>
          <w:bCs w:val="0"/>
          <w:sz w:val="30"/>
          <w:szCs w:val="30"/>
          <w:lang w:val="en-US" w:eastAsia="zh-CN"/>
        </w:rPr>
        <w:t>跨境电商实务</w:t>
      </w:r>
      <w:r>
        <w:rPr>
          <w:rFonts w:hint="eastAsia" w:ascii="黑体" w:hAnsi="黑体" w:eastAsia="黑体" w:cs="黑体"/>
          <w:b/>
          <w:bCs w:val="0"/>
          <w:sz w:val="30"/>
          <w:szCs w:val="30"/>
        </w:rPr>
        <w:t xml:space="preserve">  课程</w:t>
      </w:r>
      <w:r>
        <w:rPr>
          <w:rFonts w:hint="eastAsia" w:ascii="黑体" w:hAnsi="黑体" w:eastAsia="黑体" w:cs="黑体"/>
          <w:b/>
          <w:bCs w:val="0"/>
          <w:sz w:val="30"/>
          <w:szCs w:val="30"/>
          <w:lang w:val="en-US" w:eastAsia="zh-CN"/>
        </w:rPr>
        <w:t>教案</w:t>
      </w:r>
    </w:p>
    <w:tbl>
      <w:tblPr>
        <w:tblStyle w:val="3"/>
        <w:tblpPr w:leftFromText="180" w:rightFromText="180" w:vertAnchor="text" w:horzAnchor="margin" w:tblpXSpec="center" w:tblpY="233"/>
        <w:tblW w:w="10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305"/>
        <w:gridCol w:w="175"/>
        <w:gridCol w:w="1720"/>
        <w:gridCol w:w="500"/>
        <w:gridCol w:w="1110"/>
        <w:gridCol w:w="1370"/>
        <w:gridCol w:w="106"/>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693" w:type="dxa"/>
            <w:gridSpan w:val="5"/>
            <w:vMerge w:val="restart"/>
            <w:noWrap w:val="0"/>
            <w:vAlign w:val="top"/>
          </w:tcPr>
          <w:p>
            <w:pPr>
              <w:spacing w:line="276" w:lineRule="auto"/>
              <w:rPr>
                <w:rFonts w:hint="eastAsia" w:ascii="楷体" w:hAnsi="楷体" w:eastAsia="楷体" w:cs="楷体"/>
                <w:b/>
                <w:bCs w:val="0"/>
                <w:sz w:val="24"/>
                <w:szCs w:val="24"/>
              </w:rPr>
            </w:pPr>
            <w:r>
              <w:rPr>
                <w:rFonts w:hint="eastAsia" w:ascii="楷体" w:hAnsi="楷体" w:eastAsia="楷体" w:cs="楷体"/>
                <w:b/>
                <w:bCs w:val="0"/>
                <w:sz w:val="24"/>
                <w:szCs w:val="24"/>
              </w:rPr>
              <w:t>单元标题:</w:t>
            </w:r>
          </w:p>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项目七  订单处理、发货、报关</w:t>
            </w:r>
          </w:p>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任务1  敦煌网订单处理与发货</w:t>
            </w:r>
          </w:p>
        </w:tc>
        <w:tc>
          <w:tcPr>
            <w:tcW w:w="2480" w:type="dxa"/>
            <w:gridSpan w:val="2"/>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单元教学学时</w:t>
            </w:r>
          </w:p>
        </w:tc>
        <w:tc>
          <w:tcPr>
            <w:tcW w:w="2034" w:type="dxa"/>
            <w:gridSpan w:val="2"/>
            <w:noWrap w:val="0"/>
            <w:vAlign w:val="top"/>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16</w:t>
            </w:r>
            <w:r>
              <w:rPr>
                <w:rFonts w:hint="eastAsia" w:ascii="楷体" w:hAnsi="楷体" w:eastAsia="楷体" w:cs="楷体"/>
                <w:b/>
                <w:bCs w:val="0"/>
                <w:sz w:val="24"/>
                <w:szCs w:val="24"/>
              </w:rPr>
              <w:t xml:space="preserve"> 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693" w:type="dxa"/>
            <w:gridSpan w:val="5"/>
            <w:vMerge w:val="continue"/>
            <w:noWrap w:val="0"/>
            <w:vAlign w:val="top"/>
          </w:tcPr>
          <w:p>
            <w:pPr>
              <w:spacing w:line="276" w:lineRule="auto"/>
              <w:rPr>
                <w:rFonts w:hint="eastAsia" w:ascii="楷体" w:hAnsi="楷体" w:eastAsia="楷体" w:cs="楷体"/>
                <w:b/>
                <w:bCs w:val="0"/>
                <w:sz w:val="24"/>
                <w:szCs w:val="24"/>
              </w:rPr>
            </w:pPr>
          </w:p>
        </w:tc>
        <w:tc>
          <w:tcPr>
            <w:tcW w:w="2480" w:type="dxa"/>
            <w:gridSpan w:val="2"/>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在整体设计中的位置</w:t>
            </w:r>
          </w:p>
        </w:tc>
        <w:tc>
          <w:tcPr>
            <w:tcW w:w="2034" w:type="dxa"/>
            <w:gridSpan w:val="2"/>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 xml:space="preserve">第  </w:t>
            </w:r>
            <w:r>
              <w:rPr>
                <w:rFonts w:hint="eastAsia" w:ascii="楷体" w:hAnsi="楷体" w:eastAsia="楷体" w:cs="楷体"/>
                <w:b/>
                <w:bCs w:val="0"/>
                <w:sz w:val="24"/>
                <w:szCs w:val="24"/>
                <w:lang w:val="en-US" w:eastAsia="zh-CN"/>
              </w:rPr>
              <w:t>13</w:t>
            </w:r>
            <w:r>
              <w:rPr>
                <w:rFonts w:hint="eastAsia" w:ascii="楷体" w:hAnsi="楷体" w:eastAsia="楷体" w:cs="楷体"/>
                <w:b/>
                <w:bCs w:val="0"/>
                <w:sz w:val="24"/>
                <w:szCs w:val="24"/>
              </w:rPr>
              <w:t xml:space="preserve">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93"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任课</w:t>
            </w:r>
          </w:p>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教师</w:t>
            </w:r>
          </w:p>
        </w:tc>
        <w:tc>
          <w:tcPr>
            <w:tcW w:w="2480" w:type="dxa"/>
            <w:gridSpan w:val="2"/>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郑辉英 余薇</w:t>
            </w:r>
          </w:p>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史亚辉 刘璇</w:t>
            </w:r>
          </w:p>
        </w:tc>
        <w:tc>
          <w:tcPr>
            <w:tcW w:w="1720" w:type="dxa"/>
            <w:noWrap w:val="0"/>
            <w:vAlign w:val="center"/>
          </w:tcPr>
          <w:p>
            <w:pPr>
              <w:spacing w:line="276" w:lineRule="auto"/>
              <w:jc w:val="center"/>
              <w:rPr>
                <w:rFonts w:hint="eastAsia" w:ascii="楷体" w:hAnsi="楷体" w:eastAsia="楷体" w:cs="楷体"/>
                <w:b/>
                <w:bCs w:val="0"/>
                <w:sz w:val="24"/>
                <w:szCs w:val="24"/>
                <w:lang w:eastAsia="zh-CN"/>
              </w:rPr>
            </w:pPr>
            <w:r>
              <w:rPr>
                <w:rFonts w:hint="eastAsia" w:ascii="楷体" w:hAnsi="楷体" w:eastAsia="楷体" w:cs="楷体"/>
                <w:b/>
                <w:bCs w:val="0"/>
                <w:sz w:val="24"/>
                <w:szCs w:val="24"/>
                <w:lang w:val="en-US" w:eastAsia="zh-CN"/>
              </w:rPr>
              <w:t>周次</w:t>
            </w:r>
          </w:p>
        </w:tc>
        <w:tc>
          <w:tcPr>
            <w:tcW w:w="1610" w:type="dxa"/>
            <w:gridSpan w:val="2"/>
            <w:noWrap w:val="0"/>
            <w:vAlign w:val="center"/>
          </w:tcPr>
          <w:p>
            <w:pPr>
              <w:spacing w:line="276" w:lineRule="auto"/>
              <w:jc w:val="center"/>
              <w:rPr>
                <w:rFonts w:hint="eastAsia" w:ascii="楷体" w:hAnsi="楷体" w:eastAsia="楷体" w:cs="楷体"/>
                <w:b/>
                <w:bCs w:val="0"/>
                <w:sz w:val="24"/>
                <w:szCs w:val="24"/>
                <w:lang w:val="en-US" w:eastAsia="zh-CN"/>
              </w:rPr>
            </w:pPr>
          </w:p>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13</w:t>
            </w:r>
          </w:p>
          <w:p>
            <w:pPr>
              <w:spacing w:line="276" w:lineRule="auto"/>
              <w:jc w:val="center"/>
              <w:rPr>
                <w:rFonts w:hint="eastAsia" w:ascii="楷体" w:hAnsi="楷体" w:eastAsia="楷体" w:cs="楷体"/>
                <w:b/>
                <w:bCs w:val="0"/>
                <w:kern w:val="2"/>
                <w:sz w:val="24"/>
                <w:szCs w:val="24"/>
                <w:lang w:val="en-US" w:eastAsia="zh-CN" w:bidi="ar-SA"/>
              </w:rPr>
            </w:pPr>
          </w:p>
        </w:tc>
        <w:tc>
          <w:tcPr>
            <w:tcW w:w="1476" w:type="dxa"/>
            <w:gridSpan w:val="2"/>
            <w:noWrap w:val="0"/>
            <w:vAlign w:val="center"/>
          </w:tcPr>
          <w:p>
            <w:pPr>
              <w:spacing w:line="276" w:lineRule="auto"/>
              <w:jc w:val="center"/>
              <w:rPr>
                <w:rFonts w:hint="eastAsia" w:ascii="楷体" w:hAnsi="楷体" w:eastAsia="楷体" w:cs="楷体"/>
                <w:b/>
                <w:bCs w:val="0"/>
                <w:sz w:val="24"/>
                <w:szCs w:val="24"/>
                <w:lang w:val="en-US" w:eastAsia="zh-CN"/>
              </w:rPr>
            </w:pPr>
          </w:p>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课次</w:t>
            </w:r>
          </w:p>
          <w:p>
            <w:pPr>
              <w:spacing w:line="276" w:lineRule="auto"/>
              <w:jc w:val="center"/>
              <w:rPr>
                <w:rFonts w:hint="eastAsia" w:ascii="楷体" w:hAnsi="楷体" w:eastAsia="楷体" w:cs="楷体"/>
                <w:b/>
                <w:bCs w:val="0"/>
                <w:kern w:val="2"/>
                <w:sz w:val="24"/>
                <w:szCs w:val="24"/>
                <w:lang w:val="en-US" w:eastAsia="zh-CN" w:bidi="ar-SA"/>
              </w:rPr>
            </w:pPr>
          </w:p>
        </w:tc>
        <w:tc>
          <w:tcPr>
            <w:tcW w:w="1928" w:type="dxa"/>
            <w:noWrap w:val="0"/>
            <w:vAlign w:val="center"/>
          </w:tcPr>
          <w:p>
            <w:pPr>
              <w:spacing w:line="276" w:lineRule="auto"/>
              <w:jc w:val="center"/>
              <w:rPr>
                <w:rFonts w:hint="eastAsia" w:ascii="楷体" w:hAnsi="楷体" w:eastAsia="楷体" w:cs="楷体"/>
                <w:b/>
                <w:bCs w:val="0"/>
                <w:sz w:val="24"/>
                <w:szCs w:val="24"/>
                <w:lang w:val="en-US" w:eastAsia="zh-CN"/>
              </w:rPr>
            </w:pPr>
          </w:p>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26、27</w:t>
            </w:r>
          </w:p>
          <w:p>
            <w:pPr>
              <w:spacing w:line="276" w:lineRule="auto"/>
              <w:jc w:val="center"/>
              <w:rPr>
                <w:rFonts w:hint="eastAsia" w:ascii="楷体" w:hAnsi="楷体" w:eastAsia="楷体" w:cs="楷体"/>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993" w:type="dxa"/>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授课</w:t>
            </w:r>
          </w:p>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sz w:val="24"/>
                <w:szCs w:val="24"/>
              </w:rPr>
              <w:t>班级</w:t>
            </w:r>
          </w:p>
        </w:tc>
        <w:tc>
          <w:tcPr>
            <w:tcW w:w="2480" w:type="dxa"/>
            <w:gridSpan w:val="2"/>
            <w:noWrap w:val="0"/>
            <w:vAlign w:val="center"/>
          </w:tcPr>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kern w:val="2"/>
                <w:sz w:val="24"/>
                <w:szCs w:val="24"/>
                <w:lang w:val="en-US" w:eastAsia="zh-CN" w:bidi="ar-SA"/>
              </w:rPr>
              <w:t>18商管、18中英国贸</w:t>
            </w:r>
          </w:p>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kern w:val="2"/>
                <w:sz w:val="24"/>
                <w:szCs w:val="24"/>
                <w:lang w:val="en-US" w:eastAsia="zh-CN" w:bidi="ar-SA"/>
              </w:rPr>
              <w:t>18国贸、18旅游日语</w:t>
            </w:r>
          </w:p>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kern w:val="2"/>
                <w:sz w:val="24"/>
                <w:szCs w:val="24"/>
                <w:lang w:val="en-US" w:eastAsia="zh-CN" w:bidi="ar-SA"/>
              </w:rPr>
              <w:t>18应用韩语</w:t>
            </w:r>
          </w:p>
        </w:tc>
        <w:tc>
          <w:tcPr>
            <w:tcW w:w="1720" w:type="dxa"/>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上课</w:t>
            </w:r>
          </w:p>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sz w:val="24"/>
                <w:szCs w:val="24"/>
              </w:rPr>
              <w:t>时间</w:t>
            </w:r>
          </w:p>
        </w:tc>
        <w:tc>
          <w:tcPr>
            <w:tcW w:w="1610" w:type="dxa"/>
            <w:gridSpan w:val="2"/>
            <w:noWrap w:val="0"/>
            <w:vAlign w:val="center"/>
          </w:tcPr>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kern w:val="2"/>
                <w:sz w:val="24"/>
                <w:szCs w:val="24"/>
                <w:lang w:val="en-US" w:eastAsia="zh-CN" w:bidi="ar-SA"/>
              </w:rPr>
              <w:t>11.25-30</w:t>
            </w:r>
          </w:p>
          <w:p>
            <w:pPr>
              <w:spacing w:line="276" w:lineRule="auto"/>
              <w:jc w:val="center"/>
              <w:rPr>
                <w:rFonts w:hint="eastAsia" w:ascii="楷体" w:hAnsi="楷体" w:eastAsia="楷体" w:cs="楷体"/>
                <w:b/>
                <w:bCs w:val="0"/>
                <w:kern w:val="2"/>
                <w:sz w:val="24"/>
                <w:szCs w:val="24"/>
                <w:lang w:val="en-US" w:eastAsia="zh-CN" w:bidi="ar-SA"/>
              </w:rPr>
            </w:pPr>
          </w:p>
        </w:tc>
        <w:tc>
          <w:tcPr>
            <w:tcW w:w="1476" w:type="dxa"/>
            <w:gridSpan w:val="2"/>
            <w:noWrap w:val="0"/>
            <w:vAlign w:val="center"/>
          </w:tcPr>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sz w:val="24"/>
                <w:szCs w:val="24"/>
              </w:rPr>
              <w:t>上课地点</w:t>
            </w:r>
          </w:p>
          <w:p>
            <w:pPr>
              <w:spacing w:line="276" w:lineRule="auto"/>
              <w:jc w:val="center"/>
              <w:rPr>
                <w:rFonts w:hint="eastAsia" w:ascii="楷体" w:hAnsi="楷体" w:eastAsia="楷体" w:cs="楷体"/>
                <w:b/>
                <w:bCs w:val="0"/>
                <w:kern w:val="2"/>
                <w:sz w:val="24"/>
                <w:szCs w:val="24"/>
                <w:lang w:val="en-US" w:eastAsia="zh-CN" w:bidi="ar-SA"/>
              </w:rPr>
            </w:pPr>
          </w:p>
        </w:tc>
        <w:tc>
          <w:tcPr>
            <w:tcW w:w="1928" w:type="dxa"/>
            <w:noWrap w:val="0"/>
            <w:vAlign w:val="center"/>
          </w:tcPr>
          <w:p>
            <w:pPr>
              <w:spacing w:line="276" w:lineRule="auto"/>
              <w:jc w:val="center"/>
              <w:rPr>
                <w:rFonts w:hint="eastAsia" w:ascii="楷体" w:hAnsi="楷体" w:eastAsia="楷体" w:cs="楷体"/>
                <w:b/>
                <w:bCs w:val="0"/>
                <w:kern w:val="2"/>
                <w:sz w:val="24"/>
                <w:szCs w:val="24"/>
                <w:lang w:val="en-US" w:eastAsia="zh-CN" w:bidi="ar-SA"/>
              </w:rPr>
            </w:pPr>
            <w:r>
              <w:rPr>
                <w:rFonts w:hint="eastAsia" w:ascii="楷体" w:hAnsi="楷体" w:eastAsia="楷体" w:cs="楷体"/>
                <w:b/>
                <w:bCs w:val="0"/>
                <w:kern w:val="2"/>
                <w:sz w:val="24"/>
                <w:szCs w:val="24"/>
                <w:lang w:val="en-US" w:eastAsia="zh-CN" w:bidi="ar-SA"/>
              </w:rPr>
              <w:t>四教-506、507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3" w:type="dxa"/>
            <w:vMerge w:val="restart"/>
            <w:noWrap w:val="0"/>
            <w:vAlign w:val="top"/>
          </w:tcPr>
          <w:p>
            <w:pPr>
              <w:spacing w:line="276" w:lineRule="auto"/>
              <w:rPr>
                <w:rFonts w:hint="eastAsia" w:ascii="楷体" w:hAnsi="楷体" w:eastAsia="楷体" w:cs="楷体"/>
                <w:b/>
                <w:bCs w:val="0"/>
                <w:sz w:val="24"/>
                <w:szCs w:val="24"/>
              </w:rPr>
            </w:pPr>
          </w:p>
          <w:p>
            <w:pPr>
              <w:spacing w:line="276" w:lineRule="auto"/>
              <w:rPr>
                <w:rFonts w:hint="eastAsia" w:ascii="楷体" w:hAnsi="楷体" w:eastAsia="楷体" w:cs="楷体"/>
                <w:b/>
                <w:bCs w:val="0"/>
                <w:sz w:val="24"/>
                <w:szCs w:val="24"/>
              </w:rPr>
            </w:pPr>
          </w:p>
          <w:p>
            <w:pPr>
              <w:spacing w:line="276" w:lineRule="auto"/>
              <w:ind w:firstLine="241" w:firstLineChars="100"/>
              <w:rPr>
                <w:rFonts w:hint="eastAsia" w:ascii="楷体" w:hAnsi="楷体" w:eastAsia="楷体" w:cs="楷体"/>
                <w:b/>
                <w:bCs w:val="0"/>
                <w:sz w:val="24"/>
                <w:szCs w:val="24"/>
              </w:rPr>
            </w:pPr>
            <w:r>
              <w:rPr>
                <w:rFonts w:hint="eastAsia" w:ascii="楷体" w:hAnsi="楷体" w:eastAsia="楷体" w:cs="楷体"/>
                <w:b/>
                <w:bCs w:val="0"/>
                <w:sz w:val="24"/>
                <w:szCs w:val="24"/>
              </w:rPr>
              <w:t>教</w:t>
            </w:r>
          </w:p>
          <w:p>
            <w:pPr>
              <w:spacing w:line="276" w:lineRule="auto"/>
              <w:ind w:firstLine="241" w:firstLineChars="100"/>
              <w:rPr>
                <w:rFonts w:hint="eastAsia" w:ascii="楷体" w:hAnsi="楷体" w:eastAsia="楷体" w:cs="楷体"/>
                <w:b/>
                <w:bCs w:val="0"/>
                <w:sz w:val="24"/>
                <w:szCs w:val="24"/>
              </w:rPr>
            </w:pPr>
            <w:r>
              <w:rPr>
                <w:rFonts w:hint="eastAsia" w:ascii="楷体" w:hAnsi="楷体" w:eastAsia="楷体" w:cs="楷体"/>
                <w:b/>
                <w:bCs w:val="0"/>
                <w:sz w:val="24"/>
                <w:szCs w:val="24"/>
              </w:rPr>
              <w:t>学</w:t>
            </w:r>
          </w:p>
          <w:p>
            <w:pPr>
              <w:spacing w:line="276" w:lineRule="auto"/>
              <w:ind w:firstLine="241" w:firstLineChars="100"/>
              <w:rPr>
                <w:rFonts w:hint="eastAsia" w:ascii="楷体" w:hAnsi="楷体" w:eastAsia="楷体" w:cs="楷体"/>
                <w:b/>
                <w:bCs w:val="0"/>
                <w:sz w:val="24"/>
                <w:szCs w:val="24"/>
              </w:rPr>
            </w:pPr>
            <w:r>
              <w:rPr>
                <w:rFonts w:hint="eastAsia" w:ascii="楷体" w:hAnsi="楷体" w:eastAsia="楷体" w:cs="楷体"/>
                <w:b/>
                <w:bCs w:val="0"/>
                <w:sz w:val="24"/>
                <w:szCs w:val="24"/>
              </w:rPr>
              <w:t>目</w:t>
            </w:r>
          </w:p>
          <w:p>
            <w:pPr>
              <w:spacing w:line="276" w:lineRule="auto"/>
              <w:ind w:firstLine="241" w:firstLineChars="100"/>
              <w:rPr>
                <w:rFonts w:hint="eastAsia" w:ascii="楷体" w:hAnsi="楷体" w:eastAsia="楷体" w:cs="楷体"/>
                <w:b/>
                <w:bCs w:val="0"/>
                <w:sz w:val="24"/>
                <w:szCs w:val="24"/>
              </w:rPr>
            </w:pPr>
            <w:r>
              <w:rPr>
                <w:rFonts w:hint="eastAsia" w:ascii="楷体" w:hAnsi="楷体" w:eastAsia="楷体" w:cs="楷体"/>
                <w:b/>
                <w:bCs w:val="0"/>
                <w:sz w:val="24"/>
                <w:szCs w:val="24"/>
              </w:rPr>
              <w:t>标</w:t>
            </w:r>
          </w:p>
        </w:tc>
        <w:tc>
          <w:tcPr>
            <w:tcW w:w="2305" w:type="dxa"/>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能力目标</w:t>
            </w:r>
          </w:p>
        </w:tc>
        <w:tc>
          <w:tcPr>
            <w:tcW w:w="2395" w:type="dxa"/>
            <w:gridSpan w:val="3"/>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知识目标</w:t>
            </w:r>
          </w:p>
        </w:tc>
        <w:tc>
          <w:tcPr>
            <w:tcW w:w="2480" w:type="dxa"/>
            <w:gridSpan w:val="2"/>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rPr>
              <w:t>素质目标</w:t>
            </w:r>
          </w:p>
        </w:tc>
        <w:tc>
          <w:tcPr>
            <w:tcW w:w="2034" w:type="dxa"/>
            <w:gridSpan w:val="2"/>
            <w:noWrap w:val="0"/>
            <w:vAlign w:val="center"/>
          </w:tcPr>
          <w:p>
            <w:pPr>
              <w:spacing w:line="276" w:lineRule="auto"/>
              <w:jc w:val="center"/>
              <w:rPr>
                <w:rFonts w:hint="eastAsia" w:ascii="楷体" w:hAnsi="楷体" w:eastAsia="楷体" w:cs="楷体"/>
                <w:b/>
                <w:bCs w:val="0"/>
                <w:sz w:val="24"/>
                <w:szCs w:val="24"/>
              </w:rPr>
            </w:pPr>
            <w:r>
              <w:rPr>
                <w:rFonts w:hint="eastAsia" w:ascii="楷体" w:hAnsi="楷体" w:eastAsia="楷体" w:cs="楷体"/>
                <w:b/>
                <w:bCs w:val="0"/>
                <w:sz w:val="24"/>
                <w:szCs w:val="24"/>
                <w:lang w:eastAsia="zh-CN"/>
              </w:rPr>
              <w:t>思政</w:t>
            </w:r>
            <w:r>
              <w:rPr>
                <w:rFonts w:hint="eastAsia" w:ascii="楷体" w:hAnsi="楷体" w:eastAsia="楷体" w:cs="楷体"/>
                <w:b/>
                <w:bCs w:val="0"/>
                <w:sz w:val="24"/>
                <w:szCs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993" w:type="dxa"/>
            <w:vMerge w:val="continue"/>
            <w:noWrap w:val="0"/>
            <w:vAlign w:val="top"/>
          </w:tcPr>
          <w:p>
            <w:pPr>
              <w:spacing w:line="276" w:lineRule="auto"/>
              <w:rPr>
                <w:rFonts w:hint="eastAsia" w:ascii="楷体" w:hAnsi="楷体" w:eastAsia="楷体" w:cs="楷体"/>
                <w:b/>
                <w:bCs w:val="0"/>
                <w:sz w:val="24"/>
                <w:szCs w:val="24"/>
              </w:rPr>
            </w:pPr>
          </w:p>
        </w:tc>
        <w:tc>
          <w:tcPr>
            <w:tcW w:w="230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rPr>
            </w:pPr>
            <w:r>
              <w:rPr>
                <w:rFonts w:hint="eastAsia" w:ascii="楷体" w:hAnsi="楷体" w:eastAsia="楷体" w:cs="楷体"/>
                <w:b/>
                <w:bCs w:val="0"/>
                <w:color w:val="000000"/>
                <w:sz w:val="24"/>
                <w:szCs w:val="24"/>
              </w:rPr>
              <w:t>1.能及时处理</w:t>
            </w:r>
            <w:r>
              <w:rPr>
                <w:rFonts w:hint="eastAsia" w:ascii="楷体" w:hAnsi="楷体" w:eastAsia="楷体" w:cs="楷体"/>
                <w:b/>
                <w:bCs w:val="0"/>
                <w:color w:val="000000"/>
                <w:sz w:val="24"/>
                <w:szCs w:val="24"/>
                <w:lang w:val="en-US" w:eastAsia="zh-CN"/>
              </w:rPr>
              <w:t>敦煌网国外买家</w:t>
            </w:r>
            <w:r>
              <w:rPr>
                <w:rFonts w:hint="eastAsia" w:ascii="楷体" w:hAnsi="楷体" w:eastAsia="楷体" w:cs="楷体"/>
                <w:b/>
                <w:bCs w:val="0"/>
                <w:color w:val="000000"/>
                <w:sz w:val="24"/>
                <w:szCs w:val="24"/>
              </w:rPr>
              <w:t>订单。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sz w:val="24"/>
                <w:szCs w:val="24"/>
                <w:lang w:eastAsia="zh-CN"/>
              </w:rPr>
            </w:pPr>
            <w:r>
              <w:rPr>
                <w:rFonts w:hint="eastAsia" w:ascii="楷体" w:hAnsi="楷体" w:eastAsia="楷体" w:cs="楷体"/>
                <w:b/>
                <w:bCs w:val="0"/>
                <w:color w:val="000000"/>
                <w:sz w:val="24"/>
                <w:szCs w:val="24"/>
              </w:rPr>
              <w:t>2.能正确选择</w:t>
            </w:r>
            <w:r>
              <w:rPr>
                <w:rFonts w:hint="eastAsia" w:ascii="楷体" w:hAnsi="楷体" w:eastAsia="楷体" w:cs="楷体"/>
                <w:b/>
                <w:bCs w:val="0"/>
                <w:color w:val="000000"/>
                <w:sz w:val="24"/>
                <w:szCs w:val="24"/>
                <w:lang w:val="en-US" w:eastAsia="zh-CN"/>
              </w:rPr>
              <w:t>跨境</w:t>
            </w:r>
            <w:r>
              <w:rPr>
                <w:rFonts w:hint="eastAsia" w:ascii="楷体" w:hAnsi="楷体" w:eastAsia="楷体" w:cs="楷体"/>
                <w:b/>
                <w:bCs w:val="0"/>
                <w:color w:val="000000"/>
                <w:sz w:val="24"/>
                <w:szCs w:val="24"/>
              </w:rPr>
              <w:t>物流</w:t>
            </w:r>
            <w:r>
              <w:rPr>
                <w:rFonts w:hint="eastAsia" w:ascii="楷体" w:hAnsi="楷体" w:eastAsia="楷体" w:cs="楷体"/>
                <w:b/>
                <w:bCs w:val="0"/>
                <w:color w:val="000000"/>
                <w:sz w:val="24"/>
                <w:szCs w:val="24"/>
                <w:lang w:eastAsia="zh-CN"/>
              </w:rPr>
              <w:t>，</w:t>
            </w:r>
            <w:r>
              <w:rPr>
                <w:rFonts w:hint="eastAsia" w:ascii="楷体" w:hAnsi="楷体" w:eastAsia="楷体" w:cs="楷体"/>
                <w:b/>
                <w:bCs w:val="0"/>
                <w:color w:val="000000"/>
                <w:sz w:val="24"/>
                <w:szCs w:val="24"/>
              </w:rPr>
              <w:t>及时发货</w:t>
            </w:r>
            <w:r>
              <w:rPr>
                <w:rFonts w:hint="eastAsia" w:ascii="楷体" w:hAnsi="楷体" w:eastAsia="楷体" w:cs="楷体"/>
                <w:b/>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sz w:val="24"/>
                <w:szCs w:val="24"/>
              </w:rPr>
            </w:pPr>
          </w:p>
        </w:tc>
        <w:tc>
          <w:tcPr>
            <w:tcW w:w="2395" w:type="dxa"/>
            <w:gridSpan w:val="3"/>
            <w:noWrap w:val="0"/>
            <w:vAlign w:val="top"/>
          </w:tcPr>
          <w:p>
            <w:pPr>
              <w:snapToGrid w:val="0"/>
              <w:spacing w:line="276" w:lineRule="auto"/>
              <w:jc w:val="left"/>
              <w:rPr>
                <w:rFonts w:hint="eastAsia" w:ascii="楷体" w:hAnsi="楷体" w:eastAsia="楷体" w:cs="楷体"/>
                <w:b/>
                <w:bCs w:val="0"/>
                <w:sz w:val="24"/>
                <w:szCs w:val="24"/>
              </w:rPr>
            </w:pPr>
            <w:r>
              <w:rPr>
                <w:rFonts w:hint="eastAsia" w:ascii="楷体" w:hAnsi="楷体" w:eastAsia="楷体" w:cs="楷体"/>
                <w:b/>
                <w:bCs w:val="0"/>
                <w:color w:val="000000"/>
                <w:sz w:val="24"/>
                <w:szCs w:val="24"/>
              </w:rPr>
              <w:t>1.</w:t>
            </w:r>
            <w:r>
              <w:rPr>
                <w:rFonts w:hint="eastAsia" w:ascii="楷体" w:hAnsi="楷体" w:eastAsia="楷体" w:cs="楷体"/>
                <w:b/>
                <w:bCs w:val="0"/>
                <w:color w:val="000000"/>
                <w:sz w:val="24"/>
                <w:szCs w:val="24"/>
                <w:lang w:val="en-US" w:eastAsia="zh-CN"/>
              </w:rPr>
              <w:t>掌握</w:t>
            </w:r>
            <w:r>
              <w:rPr>
                <w:rFonts w:hint="eastAsia" w:ascii="楷体" w:hAnsi="楷体" w:eastAsia="楷体" w:cs="楷体"/>
                <w:b/>
                <w:bCs w:val="0"/>
                <w:color w:val="000000"/>
                <w:sz w:val="24"/>
                <w:szCs w:val="24"/>
              </w:rPr>
              <w:t>世界各国对征收关税的标准。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rPr>
              <w:t>2.掌握</w:t>
            </w:r>
            <w:r>
              <w:rPr>
                <w:rFonts w:hint="eastAsia" w:ascii="楷体" w:hAnsi="楷体" w:eastAsia="楷体" w:cs="楷体"/>
                <w:b/>
                <w:bCs w:val="0"/>
                <w:color w:val="000000"/>
                <w:sz w:val="24"/>
                <w:szCs w:val="24"/>
                <w:lang w:val="en-US" w:eastAsia="zh-CN"/>
              </w:rPr>
              <w:t>敦煌网订单</w:t>
            </w:r>
            <w:r>
              <w:rPr>
                <w:rFonts w:hint="eastAsia" w:ascii="楷体" w:hAnsi="楷体" w:eastAsia="楷体" w:cs="楷体"/>
                <w:b/>
                <w:bCs w:val="0"/>
                <w:color w:val="000000"/>
                <w:sz w:val="24"/>
                <w:szCs w:val="24"/>
              </w:rPr>
              <w:t>交易流程</w:t>
            </w:r>
            <w:r>
              <w:rPr>
                <w:rFonts w:hint="eastAsia" w:ascii="楷体" w:hAnsi="楷体" w:eastAsia="楷体" w:cs="楷体"/>
                <w:b/>
                <w:bCs w:val="0"/>
                <w:color w:val="000000"/>
                <w:sz w:val="24"/>
                <w:szCs w:val="24"/>
                <w:lang w:val="en-US" w:eastAsia="zh-CN"/>
              </w:rPr>
              <w:t>和订单处理与发货流程。</w:t>
            </w:r>
          </w:p>
        </w:tc>
        <w:tc>
          <w:tcPr>
            <w:tcW w:w="248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sz w:val="24"/>
                <w:szCs w:val="24"/>
              </w:rPr>
            </w:pPr>
            <w:r>
              <w:rPr>
                <w:rFonts w:hint="eastAsia" w:ascii="楷体" w:hAnsi="楷体" w:eastAsia="楷体" w:cs="楷体"/>
                <w:b/>
                <w:bCs w:val="0"/>
                <w:color w:val="000000"/>
                <w:sz w:val="24"/>
                <w:szCs w:val="24"/>
                <w:lang w:val="en-US" w:eastAsia="zh-CN"/>
              </w:rPr>
              <w:t>知悉</w:t>
            </w:r>
            <w:r>
              <w:rPr>
                <w:rFonts w:hint="eastAsia" w:ascii="楷体" w:hAnsi="楷体" w:eastAsia="楷体" w:cs="楷体"/>
                <w:b/>
                <w:bCs w:val="0"/>
                <w:color w:val="000000"/>
                <w:sz w:val="24"/>
                <w:szCs w:val="24"/>
              </w:rPr>
              <w:t>我国对于跨境电商新出台的相关规定及政策</w:t>
            </w:r>
            <w:r>
              <w:rPr>
                <w:rFonts w:hint="eastAsia" w:ascii="楷体" w:hAnsi="楷体" w:eastAsia="楷体" w:cs="楷体"/>
                <w:b/>
                <w:bCs w:val="0"/>
                <w:color w:val="000000"/>
                <w:sz w:val="24"/>
                <w:szCs w:val="24"/>
                <w:lang w:eastAsia="zh-CN"/>
              </w:rPr>
              <w:t>、</w:t>
            </w:r>
            <w:r>
              <w:rPr>
                <w:rFonts w:hint="eastAsia" w:ascii="楷体" w:hAnsi="楷体" w:eastAsia="楷体" w:cs="楷体"/>
                <w:b/>
                <w:bCs w:val="0"/>
                <w:color w:val="000000"/>
                <w:sz w:val="24"/>
                <w:szCs w:val="24"/>
              </w:rPr>
              <w:t>商检和海关对跨境电商产品的法规、政策和单据要求。</w:t>
            </w:r>
          </w:p>
        </w:tc>
        <w:tc>
          <w:tcPr>
            <w:tcW w:w="2034" w:type="dxa"/>
            <w:gridSpan w:val="2"/>
            <w:noWrap w:val="0"/>
            <w:vAlign w:val="top"/>
          </w:tcPr>
          <w:p>
            <w:pPr>
              <w:numPr>
                <w:ilvl w:val="0"/>
                <w:numId w:val="0"/>
              </w:numPr>
              <w:snapToGrid w:val="0"/>
              <w:spacing w:line="276" w:lineRule="auto"/>
              <w:jc w:val="left"/>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1.处理订单认真、仔细、耐心，</w:t>
            </w:r>
            <w:r>
              <w:rPr>
                <w:rFonts w:hint="eastAsia" w:ascii="楷体" w:hAnsi="楷体" w:eastAsia="楷体" w:cs="楷体"/>
                <w:b/>
                <w:bCs w:val="0"/>
                <w:sz w:val="24"/>
                <w:szCs w:val="24"/>
              </w:rPr>
              <w:t>诚实守信</w:t>
            </w:r>
            <w:r>
              <w:rPr>
                <w:rFonts w:hint="eastAsia" w:ascii="楷体" w:hAnsi="楷体" w:eastAsia="楷体" w:cs="楷体"/>
                <w:b/>
                <w:bCs w:val="0"/>
                <w:sz w:val="24"/>
                <w:szCs w:val="24"/>
                <w:lang w:val="en-US" w:eastAsia="zh-CN"/>
              </w:rPr>
              <w:t>。</w:t>
            </w:r>
          </w:p>
          <w:p>
            <w:pPr>
              <w:numPr>
                <w:ilvl w:val="0"/>
                <w:numId w:val="0"/>
              </w:numPr>
              <w:snapToGrid w:val="0"/>
              <w:spacing w:line="276" w:lineRule="auto"/>
              <w:ind w:left="0" w:leftChars="0" w:firstLine="0" w:firstLineChars="0"/>
              <w:jc w:val="left"/>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2.具有知识产权意识、</w:t>
            </w:r>
            <w:r>
              <w:rPr>
                <w:rFonts w:hint="eastAsia" w:ascii="楷体" w:hAnsi="楷体" w:eastAsia="楷体" w:cs="楷体"/>
                <w:b/>
                <w:bCs w:val="0"/>
                <w:sz w:val="24"/>
                <w:szCs w:val="24"/>
              </w:rPr>
              <w:t>质量意识、安全意识、工匠精神、创新思维、全球视野和市场洞察力。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93" w:type="dxa"/>
            <w:noWrap w:val="0"/>
            <w:vAlign w:val="center"/>
          </w:tcPr>
          <w:p>
            <w:pPr>
              <w:spacing w:line="276" w:lineRule="auto"/>
              <w:ind w:firstLine="241" w:firstLineChars="100"/>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教学</w:t>
            </w:r>
          </w:p>
          <w:p>
            <w:pPr>
              <w:spacing w:line="276" w:lineRule="auto"/>
              <w:ind w:firstLine="241" w:firstLineChars="100"/>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重点</w:t>
            </w:r>
          </w:p>
        </w:tc>
        <w:tc>
          <w:tcPr>
            <w:tcW w:w="9214"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1.敦煌网订单交易和处理流程。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eastAsia="zh-CN"/>
              </w:rPr>
            </w:pPr>
            <w:r>
              <w:rPr>
                <w:rFonts w:hint="eastAsia" w:ascii="楷体" w:hAnsi="楷体" w:eastAsia="楷体" w:cs="楷体"/>
                <w:b/>
                <w:bCs w:val="0"/>
                <w:color w:val="000000"/>
                <w:sz w:val="24"/>
                <w:szCs w:val="24"/>
                <w:lang w:val="en-US" w:eastAsia="zh-CN"/>
              </w:rPr>
              <w:t>2.</w:t>
            </w:r>
            <w:r>
              <w:rPr>
                <w:rFonts w:hint="eastAsia" w:ascii="楷体" w:hAnsi="楷体" w:eastAsia="楷体" w:cs="楷体"/>
                <w:b/>
                <w:bCs w:val="0"/>
                <w:color w:val="000000"/>
                <w:sz w:val="24"/>
                <w:szCs w:val="24"/>
              </w:rPr>
              <w:t>订购</w:t>
            </w:r>
            <w:r>
              <w:rPr>
                <w:rFonts w:hint="eastAsia" w:ascii="楷体" w:hAnsi="楷体" w:eastAsia="楷体" w:cs="楷体"/>
                <w:b/>
                <w:bCs w:val="0"/>
                <w:color w:val="000000"/>
                <w:sz w:val="24"/>
                <w:szCs w:val="24"/>
                <w:lang w:val="en-US" w:eastAsia="zh-CN"/>
              </w:rPr>
              <w:t>敦煌网订单</w:t>
            </w:r>
            <w:r>
              <w:rPr>
                <w:rFonts w:hint="eastAsia" w:ascii="楷体" w:hAnsi="楷体" w:eastAsia="楷体" w:cs="楷体"/>
                <w:b/>
                <w:bCs w:val="0"/>
                <w:color w:val="000000"/>
                <w:sz w:val="24"/>
                <w:szCs w:val="24"/>
              </w:rPr>
              <w:t>国内货源，对接跨境物流</w:t>
            </w:r>
            <w:r>
              <w:rPr>
                <w:rFonts w:hint="eastAsia" w:ascii="楷体" w:hAnsi="楷体" w:eastAsia="楷体" w:cs="楷体"/>
                <w:b/>
                <w:bCs w:val="0"/>
                <w:color w:val="000000"/>
                <w:sz w:val="24"/>
                <w:szCs w:val="24"/>
                <w:lang w:eastAsia="zh-CN"/>
              </w:rPr>
              <w:t>，</w:t>
            </w:r>
            <w:r>
              <w:rPr>
                <w:rFonts w:hint="eastAsia" w:ascii="楷体" w:hAnsi="楷体" w:eastAsia="楷体" w:cs="楷体"/>
                <w:b/>
                <w:bCs w:val="0"/>
                <w:color w:val="000000"/>
                <w:sz w:val="24"/>
                <w:szCs w:val="24"/>
                <w:lang w:val="en-US" w:eastAsia="zh-CN"/>
              </w:rPr>
              <w:t>申请国际运单号并</w:t>
            </w:r>
            <w:r>
              <w:rPr>
                <w:rFonts w:hint="eastAsia" w:ascii="楷体" w:hAnsi="楷体" w:eastAsia="楷体" w:cs="楷体"/>
                <w:b/>
                <w:bCs w:val="0"/>
                <w:color w:val="000000"/>
                <w:sz w:val="24"/>
                <w:szCs w:val="24"/>
              </w:rPr>
              <w:t>填写发货记录</w:t>
            </w:r>
            <w:r>
              <w:rPr>
                <w:rFonts w:hint="eastAsia" w:ascii="楷体" w:hAnsi="楷体" w:eastAsia="楷体" w:cs="楷体"/>
                <w:b/>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3.在订单处理与发货过程中，</w:t>
            </w:r>
            <w:r>
              <w:rPr>
                <w:rFonts w:hint="eastAsia" w:ascii="楷体" w:hAnsi="楷体" w:eastAsia="楷体" w:cs="楷体"/>
                <w:b/>
                <w:bCs w:val="0"/>
                <w:color w:val="000000"/>
                <w:sz w:val="24"/>
                <w:szCs w:val="24"/>
              </w:rPr>
              <w:t>与货源方、跨境</w:t>
            </w:r>
            <w:r>
              <w:rPr>
                <w:rFonts w:hint="eastAsia" w:ascii="楷体" w:hAnsi="楷体" w:eastAsia="楷体" w:cs="楷体"/>
                <w:b/>
                <w:bCs w:val="0"/>
                <w:color w:val="000000"/>
                <w:sz w:val="24"/>
                <w:szCs w:val="24"/>
                <w:lang w:val="en-US" w:eastAsia="zh-CN"/>
              </w:rPr>
              <w:t>货代</w:t>
            </w:r>
            <w:r>
              <w:rPr>
                <w:rFonts w:hint="eastAsia" w:ascii="楷体" w:hAnsi="楷体" w:eastAsia="楷体" w:cs="楷体"/>
                <w:b/>
                <w:bCs w:val="0"/>
                <w:color w:val="000000"/>
                <w:sz w:val="24"/>
                <w:szCs w:val="24"/>
              </w:rPr>
              <w:t>、</w:t>
            </w:r>
            <w:r>
              <w:rPr>
                <w:rFonts w:hint="eastAsia" w:ascii="楷体" w:hAnsi="楷体" w:eastAsia="楷体" w:cs="楷体"/>
                <w:b/>
                <w:bCs w:val="0"/>
                <w:color w:val="000000"/>
                <w:sz w:val="24"/>
                <w:szCs w:val="24"/>
                <w:lang w:val="en-US" w:eastAsia="zh-CN"/>
              </w:rPr>
              <w:t>国外</w:t>
            </w:r>
            <w:r>
              <w:rPr>
                <w:rFonts w:hint="eastAsia" w:ascii="楷体" w:hAnsi="楷体" w:eastAsia="楷体" w:cs="楷体"/>
                <w:b/>
                <w:bCs w:val="0"/>
                <w:color w:val="000000"/>
                <w:sz w:val="24"/>
                <w:szCs w:val="24"/>
              </w:rPr>
              <w:t>买家顺利对接</w:t>
            </w:r>
            <w:r>
              <w:rPr>
                <w:rFonts w:hint="eastAsia" w:ascii="楷体" w:hAnsi="楷体" w:eastAsia="楷体" w:cs="楷体"/>
                <w:b/>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993" w:type="dxa"/>
            <w:noWrap w:val="0"/>
            <w:vAlign w:val="center"/>
          </w:tcPr>
          <w:p>
            <w:pPr>
              <w:spacing w:line="276" w:lineRule="auto"/>
              <w:ind w:firstLine="241" w:firstLineChars="100"/>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教学</w:t>
            </w:r>
          </w:p>
          <w:p>
            <w:pPr>
              <w:spacing w:line="276" w:lineRule="auto"/>
              <w:ind w:firstLine="241" w:firstLineChars="100"/>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难点</w:t>
            </w:r>
          </w:p>
        </w:tc>
        <w:tc>
          <w:tcPr>
            <w:tcW w:w="9214"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w:t>
            </w:r>
            <w:r>
              <w:rPr>
                <w:rFonts w:hint="eastAsia" w:ascii="楷体" w:hAnsi="楷体" w:eastAsia="楷体" w:cs="楷体"/>
                <w:b/>
                <w:bCs w:val="0"/>
                <w:color w:val="000000"/>
                <w:sz w:val="24"/>
                <w:szCs w:val="24"/>
              </w:rPr>
              <w:t>对接跨境物流</w:t>
            </w:r>
            <w:r>
              <w:rPr>
                <w:rFonts w:hint="eastAsia" w:ascii="楷体" w:hAnsi="楷体" w:eastAsia="楷体" w:cs="楷体"/>
                <w:b/>
                <w:bCs w:val="0"/>
                <w:color w:val="000000"/>
                <w:sz w:val="24"/>
                <w:szCs w:val="24"/>
                <w:lang w:eastAsia="zh-CN"/>
              </w:rPr>
              <w:t>，</w:t>
            </w:r>
            <w:r>
              <w:rPr>
                <w:rFonts w:hint="eastAsia" w:ascii="楷体" w:hAnsi="楷体" w:eastAsia="楷体" w:cs="楷体"/>
                <w:b/>
                <w:bCs w:val="0"/>
                <w:color w:val="000000"/>
                <w:sz w:val="24"/>
                <w:szCs w:val="24"/>
                <w:lang w:val="en-US" w:eastAsia="zh-CN"/>
              </w:rPr>
              <w:t>申请国际运单号。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eastAsia="zh-CN"/>
              </w:rPr>
            </w:pPr>
            <w:r>
              <w:rPr>
                <w:rFonts w:hint="eastAsia" w:ascii="楷体" w:hAnsi="楷体" w:eastAsia="楷体" w:cs="楷体"/>
                <w:b/>
                <w:bCs w:val="0"/>
                <w:color w:val="000000"/>
                <w:sz w:val="24"/>
                <w:szCs w:val="24"/>
                <w:lang w:val="en-US" w:eastAsia="zh-CN"/>
              </w:rPr>
              <w:t>2.在订单处理与发货过程中，</w:t>
            </w:r>
            <w:r>
              <w:rPr>
                <w:rFonts w:hint="eastAsia" w:ascii="楷体" w:hAnsi="楷体" w:eastAsia="楷体" w:cs="楷体"/>
                <w:b/>
                <w:bCs w:val="0"/>
                <w:color w:val="000000"/>
                <w:sz w:val="24"/>
                <w:szCs w:val="24"/>
              </w:rPr>
              <w:t>与货源方、跨境</w:t>
            </w:r>
            <w:r>
              <w:rPr>
                <w:rFonts w:hint="eastAsia" w:ascii="楷体" w:hAnsi="楷体" w:eastAsia="楷体" w:cs="楷体"/>
                <w:b/>
                <w:bCs w:val="0"/>
                <w:color w:val="000000"/>
                <w:sz w:val="24"/>
                <w:szCs w:val="24"/>
                <w:lang w:val="en-US" w:eastAsia="zh-CN"/>
              </w:rPr>
              <w:t>货代</w:t>
            </w:r>
            <w:r>
              <w:rPr>
                <w:rFonts w:hint="eastAsia" w:ascii="楷体" w:hAnsi="楷体" w:eastAsia="楷体" w:cs="楷体"/>
                <w:b/>
                <w:bCs w:val="0"/>
                <w:color w:val="000000"/>
                <w:sz w:val="24"/>
                <w:szCs w:val="24"/>
              </w:rPr>
              <w:t>、</w:t>
            </w:r>
            <w:r>
              <w:rPr>
                <w:rFonts w:hint="eastAsia" w:ascii="楷体" w:hAnsi="楷体" w:eastAsia="楷体" w:cs="楷体"/>
                <w:b/>
                <w:bCs w:val="0"/>
                <w:color w:val="000000"/>
                <w:sz w:val="24"/>
                <w:szCs w:val="24"/>
                <w:lang w:val="en-US" w:eastAsia="zh-CN"/>
              </w:rPr>
              <w:t>国外</w:t>
            </w:r>
            <w:r>
              <w:rPr>
                <w:rFonts w:hint="eastAsia" w:ascii="楷体" w:hAnsi="楷体" w:eastAsia="楷体" w:cs="楷体"/>
                <w:b/>
                <w:bCs w:val="0"/>
                <w:color w:val="000000"/>
                <w:sz w:val="24"/>
                <w:szCs w:val="24"/>
              </w:rPr>
              <w:t>买家顺利对接</w:t>
            </w:r>
            <w:r>
              <w:rPr>
                <w:rFonts w:hint="eastAsia" w:ascii="楷体" w:hAnsi="楷体" w:eastAsia="楷体" w:cs="楷体"/>
                <w:b/>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993"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教学</w:t>
            </w:r>
          </w:p>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具体</w:t>
            </w:r>
          </w:p>
          <w:p>
            <w:pPr>
              <w:spacing w:line="276" w:lineRule="auto"/>
              <w:jc w:val="center"/>
              <w:rPr>
                <w:rFonts w:hint="eastAsia" w:ascii="楷体" w:hAnsi="楷体" w:eastAsia="楷体" w:cs="楷体"/>
                <w:b/>
                <w:bCs w:val="0"/>
                <w:sz w:val="24"/>
                <w:szCs w:val="24"/>
                <w:lang w:val="en-US"/>
              </w:rPr>
            </w:pPr>
            <w:r>
              <w:rPr>
                <w:rFonts w:hint="eastAsia" w:ascii="楷体" w:hAnsi="楷体" w:eastAsia="楷体" w:cs="楷体"/>
                <w:b/>
                <w:bCs w:val="0"/>
                <w:sz w:val="24"/>
                <w:szCs w:val="24"/>
                <w:lang w:val="en-US" w:eastAsia="zh-CN"/>
              </w:rPr>
              <w:t>内容</w:t>
            </w:r>
          </w:p>
        </w:tc>
        <w:tc>
          <w:tcPr>
            <w:tcW w:w="9214" w:type="dxa"/>
            <w:gridSpan w:val="8"/>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right="0" w:rightChars="0"/>
              <w:textAlignment w:val="auto"/>
              <w:outlineLvl w:val="9"/>
              <w:rPr>
                <w:rFonts w:hint="eastAsia" w:ascii="楷体" w:hAnsi="楷体" w:eastAsia="楷体" w:cs="楷体"/>
                <w:b/>
                <w:bCs w:val="0"/>
                <w:sz w:val="24"/>
                <w:szCs w:val="24"/>
              </w:rPr>
            </w:pPr>
            <w:r>
              <w:rPr>
                <w:rFonts w:hint="eastAsia" w:ascii="楷体" w:hAnsi="楷体" w:eastAsia="楷体" w:cs="楷体"/>
                <w:b/>
                <w:bCs w:val="0"/>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501650</wp:posOffset>
                  </wp:positionV>
                  <wp:extent cx="5080000" cy="1509395"/>
                  <wp:effectExtent l="0" t="0" r="10160" b="14605"/>
                  <wp:wrapTopAndBottom/>
                  <wp:docPr id="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pic:cNvPicPr>
                            <a:picLocks noChangeAspect="1"/>
                          </pic:cNvPicPr>
                        </pic:nvPicPr>
                        <pic:blipFill>
                          <a:blip r:embed="rId4"/>
                          <a:stretch>
                            <a:fillRect/>
                          </a:stretch>
                        </pic:blipFill>
                        <pic:spPr>
                          <a:xfrm>
                            <a:off x="0" y="0"/>
                            <a:ext cx="5080000" cy="1509395"/>
                          </a:xfrm>
                          <a:prstGeom prst="rect">
                            <a:avLst/>
                          </a:prstGeom>
                          <a:noFill/>
                          <a:ln>
                            <a:noFill/>
                          </a:ln>
                        </pic:spPr>
                      </pic:pic>
                    </a:graphicData>
                  </a:graphic>
                </wp:anchor>
              </w:drawing>
            </w:r>
            <w:r>
              <w:rPr>
                <w:rFonts w:hint="eastAsia" w:ascii="楷体" w:hAnsi="楷体" w:eastAsia="楷体" w:cs="楷体"/>
                <w:b/>
                <w:bCs w:val="0"/>
                <w:color w:val="000000"/>
                <w:sz w:val="24"/>
                <w:szCs w:val="24"/>
                <w:lang w:val="en-US" w:eastAsia="zh-CN"/>
              </w:rPr>
              <w:t>敦煌网订单交易流程。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世界各国对征收关税的标准。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drawing>
                <wp:anchor distT="0" distB="0" distL="114300" distR="114300" simplePos="0" relativeHeight="251659264" behindDoc="0" locked="0" layoutInCell="1" allowOverlap="1">
                  <wp:simplePos x="0" y="0"/>
                  <wp:positionH relativeFrom="column">
                    <wp:posOffset>69850</wp:posOffset>
                  </wp:positionH>
                  <wp:positionV relativeFrom="paragraph">
                    <wp:posOffset>165100</wp:posOffset>
                  </wp:positionV>
                  <wp:extent cx="4572000" cy="3111500"/>
                  <wp:effectExtent l="0" t="0" r="0" b="12700"/>
                  <wp:wrapTopAndBottom/>
                  <wp:docPr id="3" name="图片 32" descr="各国关税起征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2" descr="各国关税起征点"/>
                          <pic:cNvPicPr>
                            <a:picLocks noChangeAspect="1"/>
                          </pic:cNvPicPr>
                        </pic:nvPicPr>
                        <pic:blipFill>
                          <a:blip r:embed="rId5"/>
                          <a:stretch>
                            <a:fillRect/>
                          </a:stretch>
                        </pic:blipFill>
                        <pic:spPr>
                          <a:xfrm>
                            <a:off x="0" y="0"/>
                            <a:ext cx="4572000" cy="3111500"/>
                          </a:xfrm>
                          <a:prstGeom prst="rect">
                            <a:avLst/>
                          </a:prstGeom>
                          <a:noFill/>
                          <a:ln>
                            <a:noFill/>
                          </a:ln>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sz w:val="24"/>
                <w:szCs w:val="24"/>
              </w:rPr>
              <w:drawing>
                <wp:anchor distT="0" distB="0" distL="114300" distR="114300" simplePos="0" relativeHeight="251660288" behindDoc="0" locked="0" layoutInCell="1" allowOverlap="1">
                  <wp:simplePos x="0" y="0"/>
                  <wp:positionH relativeFrom="column">
                    <wp:posOffset>134620</wp:posOffset>
                  </wp:positionH>
                  <wp:positionV relativeFrom="paragraph">
                    <wp:posOffset>378460</wp:posOffset>
                  </wp:positionV>
                  <wp:extent cx="4959350" cy="4413885"/>
                  <wp:effectExtent l="0" t="0" r="8890" b="5715"/>
                  <wp:wrapTopAndBottom/>
                  <wp:docPr id="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3"/>
                          <pic:cNvPicPr>
                            <a:picLocks noChangeAspect="1"/>
                          </pic:cNvPicPr>
                        </pic:nvPicPr>
                        <pic:blipFill>
                          <a:blip r:embed="rId6"/>
                          <a:stretch>
                            <a:fillRect/>
                          </a:stretch>
                        </pic:blipFill>
                        <pic:spPr>
                          <a:xfrm>
                            <a:off x="0" y="0"/>
                            <a:ext cx="4959350" cy="4413885"/>
                          </a:xfrm>
                          <a:prstGeom prst="rect">
                            <a:avLst/>
                          </a:prstGeom>
                          <a:noFill/>
                          <a:ln>
                            <a:noFill/>
                          </a:ln>
                        </pic:spPr>
                      </pic:pic>
                    </a:graphicData>
                  </a:graphic>
                </wp:anchor>
              </w:drawing>
            </w:r>
            <w:r>
              <w:rPr>
                <w:rFonts w:hint="eastAsia" w:ascii="楷体" w:hAnsi="楷体" w:eastAsia="楷体" w:cs="楷体"/>
                <w:b/>
                <w:bCs w:val="0"/>
                <w:color w:val="000000"/>
                <w:sz w:val="24"/>
                <w:szCs w:val="24"/>
                <w:lang w:val="en-US" w:eastAsia="zh-CN"/>
              </w:rPr>
              <w:t>我国商检和海关对跨境电商产品的法规、政策和单据要求。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海关总署公告2014年第12号：增列海关监管方式代码“9610”，全称“跨境贸易电子商务”，简称“电子商务”。适用于境内个人或电子商务企业通过电子商务交易平台实现交易，并采用“清单核放、汇总申报”模式办理通关手续的电子商务零售进出口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海关总署公告2014年第57号：增列海关监管方式代码“1210”，全称“保税跨境贸易电子商务”，简称“保税电商”。适用于境内个人或电子商务企业在经海关认可的电子商务平台实现跨境交易，并通过海关特殊监管区域或保税监管场所进出的电子商务零售进出境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署监函〔2016〕163号，跨境电子商务试点城市：第一批：上海、重庆、杭州、宁波、郑州。第二批：广州、深圳。第三批：天津、福州、平潭。跨境电子商务综合试验区：第一批：2015年3月7日，国务院关于同意设立中国（杭州）跨境电子商务综合试验区。第二批：2016年1月6日，国务院常务会议决定，在天津、上海、重庆、合肥、郑州、广州、成都、大连、宁波、青岛、深圳、苏州这12个城市设第二批跨境电子商务综合试验区。第三批：2018年7月24日，国务院同意在北京市、呼和浩特市、沈阳市、长春市、哈尔滨市、南京市、南昌市、武汉市、长沙市、南宁市、海口市、贵阳市、昆明市、西安市、兰州市、厦门市、唐山市、无锡市、威海市、珠海市、东莞市、义乌市等22个城市设立跨境电子商务综合试验区。</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推行全程通关无纸化。</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32" w:beforeAutospacing="0" w:after="378" w:afterAutospacing="0"/>
              <w:ind w:leftChars="200" w:right="0" w:rightChars="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（二）明确“三单”数据传输主体，统一传输标准。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1. “三单”数据传输主体。     2 . “三单”数据格式标准。</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对 B2C 销售模式按照“ B2B ”通关。</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32" w:beforeAutospacing="0" w:after="378" w:afterAutospacing="0"/>
              <w:ind w:right="0" w:rightChars="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（四）实行“简化申报、清单核放、汇总统计”。适用范围：出口。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1 ．简化申报。对不涉及出口征税、出口退税、许可证件管理，且单票价值在人民币 5000 元以内的跨境电子商务 B2C 出口商品，电商企业可以按照 《 进出口税则 》 4 位税号申报。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2 ．清单核放。电商企业或其代理人向海关提交 《 中华人民共和国海关跨境电子商务零售进出口商品申报清单 》 （以下简称 《 申报清单》 ) ，办理出口商品通关手续，经国税部门和外汇管理部门同意后，不再汇总申报 《 中华人民共和国海关出口货物报关单》。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firstLine="482" w:firstLineChars="200"/>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3 ．汇总统计。符合以上条件的跨境电子商务出口商品，按 《 申报清单 》 汇总统计。</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四、无囤货跨境货代敦煌网订单处理与发货。</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序号 流程</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具体操作</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操作网站或地点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对接货源：国内货源下单</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1688、淘宝或其他货源网站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2</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对接物流：国际货运下单</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跨境物流公司网站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3</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对接产品：验货与发货</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学校或物流公司营业点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4</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对接平台：填写发货记录</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敦煌网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5</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对接买家：给买家写站内信 敦煌网</w:t>
            </w:r>
          </w:p>
          <w:p>
            <w:pPr>
              <w:spacing w:line="276" w:lineRule="auto"/>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6</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对接物流：跟进物流信息</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敦煌网</w:t>
            </w:r>
          </w:p>
          <w:p>
            <w:pPr>
              <w:spacing w:line="276" w:lineRule="auto"/>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五、无囤货ERP敦煌网订单处理与发货。</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序号 流程</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具体操作</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操作网站或地点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对接货源：国内货源下单</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1688、淘宝或其他货源网站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2</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对接物流：国际货运下单</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ERP</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3</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对接产品：验货与发货</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学校或物流公司营业点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4</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对接平台：发货或虚拟发货  ERP</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5</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对接买家：给买家写站内信  敦煌网</w:t>
            </w:r>
          </w:p>
          <w:p>
            <w:pPr>
              <w:spacing w:line="276" w:lineRule="auto"/>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6</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对接物流：跟进物流信息</w:t>
            </w:r>
            <w:r>
              <w:rPr>
                <w:rFonts w:hint="eastAsia" w:ascii="楷体" w:hAnsi="楷体" w:eastAsia="楷体" w:cs="楷体"/>
                <w:b/>
                <w:bCs w:val="0"/>
                <w:color w:val="000000"/>
                <w:sz w:val="24"/>
                <w:szCs w:val="24"/>
                <w:lang w:val="en-US" w:eastAsia="zh-CN"/>
              </w:rPr>
              <w:tab/>
            </w:r>
            <w:r>
              <w:rPr>
                <w:rFonts w:hint="eastAsia" w:ascii="楷体" w:hAnsi="楷体" w:eastAsia="楷体" w:cs="楷体"/>
                <w:b/>
                <w:bCs w:val="0"/>
                <w:color w:val="000000"/>
                <w:sz w:val="24"/>
                <w:szCs w:val="24"/>
                <w:lang w:val="en-US" w:eastAsia="zh-CN"/>
              </w:rPr>
              <w:t xml:space="preserve">  敦煌网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993"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教学</w:t>
            </w:r>
          </w:p>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资源</w:t>
            </w:r>
          </w:p>
        </w:tc>
        <w:tc>
          <w:tcPr>
            <w:tcW w:w="9214" w:type="dxa"/>
            <w:gridSpan w:val="8"/>
            <w:noWrap w:val="0"/>
            <w:vAlign w:val="top"/>
          </w:tcPr>
          <w:p>
            <w:pPr>
              <w:spacing w:line="276" w:lineRule="auto"/>
              <w:rPr>
                <w:rFonts w:hint="eastAsia" w:ascii="楷体" w:hAnsi="楷体" w:eastAsia="楷体" w:cs="楷体"/>
                <w:b/>
                <w:bCs w:val="0"/>
                <w:sz w:val="24"/>
                <w:szCs w:val="24"/>
              </w:rPr>
            </w:pPr>
            <w:r>
              <w:rPr>
                <w:rFonts w:hint="eastAsia" w:ascii="楷体" w:hAnsi="楷体" w:eastAsia="楷体" w:cs="楷体"/>
                <w:b/>
                <w:bCs w:val="0"/>
                <w:sz w:val="24"/>
                <w:szCs w:val="24"/>
              </w:rPr>
              <w:t>（教材或讲义、课件</w:t>
            </w:r>
            <w:r>
              <w:rPr>
                <w:rFonts w:hint="eastAsia" w:ascii="楷体" w:hAnsi="楷体" w:eastAsia="楷体" w:cs="楷体"/>
                <w:b/>
                <w:bCs w:val="0"/>
                <w:sz w:val="24"/>
                <w:szCs w:val="24"/>
                <w:lang w:eastAsia="zh-CN"/>
              </w:rPr>
              <w:t>、</w:t>
            </w:r>
            <w:r>
              <w:rPr>
                <w:rFonts w:hint="eastAsia" w:ascii="楷体" w:hAnsi="楷体" w:eastAsia="楷体" w:cs="楷体"/>
                <w:b/>
                <w:bCs w:val="0"/>
                <w:sz w:val="24"/>
                <w:szCs w:val="24"/>
                <w:lang w:val="en-US" w:eastAsia="zh-CN"/>
              </w:rPr>
              <w:t>动画等</w:t>
            </w:r>
            <w:r>
              <w:rPr>
                <w:rFonts w:hint="eastAsia" w:ascii="楷体" w:hAnsi="楷体" w:eastAsia="楷体" w:cs="楷体"/>
                <w:b/>
                <w:bCs w:val="0"/>
                <w:sz w:val="24"/>
                <w:szCs w:val="24"/>
              </w:rPr>
              <w:t xml:space="preserve">）      </w:t>
            </w:r>
          </w:p>
          <w:p>
            <w:pPr>
              <w:keepNext w:val="0"/>
              <w:keepLines w:val="0"/>
              <w:widowControl/>
              <w:suppressLineNumbers w:val="0"/>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1.跨境电商平台</w:t>
            </w:r>
          </w:p>
          <w:p>
            <w:pPr>
              <w:spacing w:line="276" w:lineRule="auto"/>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2.跨境电商实务精品在线开放课程资源库</w:t>
            </w:r>
          </w:p>
          <w:p>
            <w:pPr>
              <w:spacing w:line="276" w:lineRule="auto"/>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 xml:space="preserve">3.教材配套PPT、教材：《跨境电商实务》（主编：肖旭，出版社：中国人民大学出版社） </w:t>
            </w:r>
          </w:p>
        </w:tc>
      </w:tr>
    </w:tbl>
    <w:tbl>
      <w:tblPr>
        <w:tblStyle w:val="3"/>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819"/>
        <w:gridCol w:w="4338"/>
        <w:gridCol w:w="3418"/>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192" w:type="dxa"/>
            <w:gridSpan w:val="5"/>
            <w:noWrap w:val="0"/>
            <w:vAlign w:val="center"/>
          </w:tcPr>
          <w:p>
            <w:pPr>
              <w:spacing w:line="276" w:lineRule="auto"/>
              <w:jc w:val="left"/>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教学实施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7"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项目</w:t>
            </w:r>
          </w:p>
        </w:tc>
        <w:tc>
          <w:tcPr>
            <w:tcW w:w="819"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时间</w:t>
            </w:r>
          </w:p>
        </w:tc>
        <w:tc>
          <w:tcPr>
            <w:tcW w:w="4338"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内         容</w:t>
            </w:r>
          </w:p>
        </w:tc>
        <w:tc>
          <w:tcPr>
            <w:tcW w:w="3418"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组 织 教 法</w:t>
            </w:r>
          </w:p>
        </w:tc>
        <w:tc>
          <w:tcPr>
            <w:tcW w:w="680"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7"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教或准备部分</w:t>
            </w:r>
          </w:p>
        </w:tc>
        <w:tc>
          <w:tcPr>
            <w:tcW w:w="819"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40</w:t>
            </w:r>
          </w:p>
        </w:tc>
        <w:tc>
          <w:tcPr>
            <w:tcW w:w="433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一、敦煌网订单交易流程。</w:t>
            </w:r>
          </w:p>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二、世界各国对征收关</w:t>
            </w:r>
            <w:bookmarkStart w:id="0" w:name="_GoBack"/>
            <w:bookmarkEnd w:id="0"/>
            <w:r>
              <w:rPr>
                <w:rFonts w:hint="eastAsia" w:ascii="楷体" w:hAnsi="楷体" w:eastAsia="楷体" w:cs="楷体"/>
                <w:b/>
                <w:bCs w:val="0"/>
                <w:color w:val="000000"/>
                <w:sz w:val="24"/>
                <w:szCs w:val="24"/>
                <w:lang w:val="en-US" w:eastAsia="zh-CN"/>
              </w:rPr>
              <w:t>税的标准。</w:t>
            </w:r>
          </w:p>
          <w:p>
            <w:pPr>
              <w:spacing w:line="276" w:lineRule="auto"/>
              <w:jc w:val="left"/>
              <w:rPr>
                <w:rFonts w:hint="eastAsia" w:ascii="楷体" w:hAnsi="楷体" w:eastAsia="楷体" w:cs="楷体"/>
                <w:b/>
                <w:bCs w:val="0"/>
                <w:sz w:val="24"/>
                <w:szCs w:val="24"/>
                <w:lang w:val="en-US" w:eastAsia="zh-CN"/>
              </w:rPr>
            </w:pPr>
            <w:r>
              <w:rPr>
                <w:rFonts w:hint="eastAsia" w:ascii="楷体" w:hAnsi="楷体" w:eastAsia="楷体" w:cs="楷体"/>
                <w:b/>
                <w:bCs w:val="0"/>
                <w:color w:val="000000"/>
                <w:sz w:val="24"/>
                <w:szCs w:val="24"/>
                <w:lang w:val="en-US" w:eastAsia="zh-CN"/>
              </w:rPr>
              <w:t>三、我国商检和海关对跨境电商产品的法规、政策和单据要求。</w:t>
            </w:r>
          </w:p>
        </w:tc>
        <w:tc>
          <w:tcPr>
            <w:tcW w:w="3418" w:type="dxa"/>
            <w:noWrap w:val="0"/>
            <w:vAlign w:val="top"/>
          </w:tcPr>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1.讨论法：讨论敦煌网订单交易流程。</w:t>
            </w:r>
          </w:p>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2.讲授法：教授第二、三项内容。</w:t>
            </w:r>
          </w:p>
        </w:tc>
        <w:tc>
          <w:tcPr>
            <w:tcW w:w="680" w:type="dxa"/>
            <w:noWrap w:val="0"/>
            <w:vAlign w:val="top"/>
          </w:tcPr>
          <w:p>
            <w:pPr>
              <w:spacing w:line="276" w:lineRule="auto"/>
              <w:jc w:val="center"/>
              <w:rPr>
                <w:rFonts w:hint="eastAsia" w:ascii="楷体" w:hAnsi="楷体" w:eastAsia="楷体" w:cs="楷体"/>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7"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学或基本部分</w:t>
            </w:r>
          </w:p>
        </w:tc>
        <w:tc>
          <w:tcPr>
            <w:tcW w:w="819"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80</w:t>
            </w:r>
          </w:p>
        </w:tc>
        <w:tc>
          <w:tcPr>
            <w:tcW w:w="4338" w:type="dxa"/>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right="0" w:rightChars="0"/>
              <w:jc w:val="left"/>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无囤货跨境货代敦煌网订单处理与发货。</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无囤货ERP敦煌网订单处理与发货。</w:t>
            </w:r>
          </w:p>
          <w:p>
            <w:pPr>
              <w:spacing w:line="276" w:lineRule="auto"/>
              <w:jc w:val="left"/>
              <w:rPr>
                <w:rFonts w:hint="eastAsia" w:ascii="楷体" w:hAnsi="楷体" w:eastAsia="楷体" w:cs="楷体"/>
                <w:b/>
                <w:bCs w:val="0"/>
                <w:sz w:val="24"/>
                <w:szCs w:val="24"/>
                <w:lang w:val="en-US" w:eastAsia="zh-CN"/>
              </w:rPr>
            </w:pPr>
            <w:r>
              <w:rPr>
                <w:rFonts w:hint="eastAsia" w:ascii="楷体" w:hAnsi="楷体" w:eastAsia="楷体" w:cs="楷体"/>
                <w:b/>
                <w:bCs w:val="0"/>
                <w:color w:val="000000"/>
                <w:sz w:val="24"/>
                <w:szCs w:val="24"/>
                <w:lang w:val="en-US" w:eastAsia="zh-CN"/>
              </w:rPr>
              <w:t>（备注：平常积累素材制作PPT辅助教学或直接登入真实账号现场示范教学。）</w:t>
            </w:r>
          </w:p>
        </w:tc>
        <w:tc>
          <w:tcPr>
            <w:tcW w:w="3418" w:type="dxa"/>
            <w:noWrap w:val="0"/>
            <w:vAlign w:val="top"/>
          </w:tcPr>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1.真实案例教学：无囤货跨境货代敦煌网订单处理与发货。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2.真实案例教学：无囤货ERP敦煌网订单处理与发货。</w:t>
            </w:r>
          </w:p>
        </w:tc>
        <w:tc>
          <w:tcPr>
            <w:tcW w:w="680" w:type="dxa"/>
            <w:noWrap w:val="0"/>
            <w:vAlign w:val="top"/>
          </w:tcPr>
          <w:p>
            <w:pPr>
              <w:spacing w:line="276" w:lineRule="auto"/>
              <w:jc w:val="both"/>
              <w:rPr>
                <w:rFonts w:hint="eastAsia" w:ascii="楷体" w:hAnsi="楷体" w:eastAsia="楷体" w:cs="楷体"/>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7" w:type="dxa"/>
            <w:noWrap w:val="0"/>
            <w:vAlign w:val="top"/>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做或结束部分</w:t>
            </w:r>
          </w:p>
        </w:tc>
        <w:tc>
          <w:tcPr>
            <w:tcW w:w="819"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40</w:t>
            </w:r>
          </w:p>
        </w:tc>
        <w:tc>
          <w:tcPr>
            <w:tcW w:w="4338" w:type="dxa"/>
            <w:noWrap w:val="0"/>
            <w:vAlign w:val="top"/>
          </w:tcPr>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学生任务：无囤货跨境货代敦煌网订单处理与发货实战</w:t>
            </w:r>
          </w:p>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小结：敦煌网订单处理与发货</w:t>
            </w:r>
          </w:p>
        </w:tc>
        <w:tc>
          <w:tcPr>
            <w:tcW w:w="3418" w:type="dxa"/>
            <w:noWrap w:val="0"/>
            <w:vAlign w:val="top"/>
          </w:tcPr>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1.一对一或一对多订单处理与发货实战指导。</w:t>
            </w:r>
          </w:p>
          <w:p>
            <w:pPr>
              <w:spacing w:line="276" w:lineRule="auto"/>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2.敦煌网订单处理与发货小结。</w:t>
            </w:r>
          </w:p>
        </w:tc>
        <w:tc>
          <w:tcPr>
            <w:tcW w:w="680" w:type="dxa"/>
            <w:noWrap w:val="0"/>
            <w:vAlign w:val="top"/>
          </w:tcPr>
          <w:p>
            <w:pPr>
              <w:spacing w:line="276" w:lineRule="auto"/>
              <w:jc w:val="center"/>
              <w:rPr>
                <w:rFonts w:hint="eastAsia" w:ascii="楷体" w:hAnsi="楷体" w:eastAsia="楷体" w:cs="楷体"/>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7"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课后作业</w:t>
            </w:r>
          </w:p>
        </w:tc>
        <w:tc>
          <w:tcPr>
            <w:tcW w:w="9255" w:type="dxa"/>
            <w:gridSpan w:val="4"/>
            <w:noWrap w:val="0"/>
            <w:vAlign w:val="top"/>
          </w:tcPr>
          <w:p>
            <w:pPr>
              <w:spacing w:line="276" w:lineRule="auto"/>
              <w:jc w:val="center"/>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无囤货ERP敦煌网订单处理与发货实战任务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7" w:type="dxa"/>
            <w:noWrap w:val="0"/>
            <w:vAlign w:val="center"/>
          </w:tcPr>
          <w:p>
            <w:pPr>
              <w:spacing w:line="276" w:lineRule="auto"/>
              <w:jc w:val="center"/>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教学反思</w:t>
            </w:r>
          </w:p>
        </w:tc>
        <w:tc>
          <w:tcPr>
            <w:tcW w:w="9255" w:type="dxa"/>
            <w:gridSpan w:val="4"/>
            <w:noWrap w:val="0"/>
            <w:vAlign w:val="top"/>
          </w:tcPr>
          <w:p>
            <w:pPr>
              <w:spacing w:line="276" w:lineRule="auto"/>
              <w:ind w:firstLine="482" w:firstLineChars="200"/>
              <w:jc w:val="left"/>
              <w:rPr>
                <w:rFonts w:hint="eastAsia" w:ascii="楷体" w:hAnsi="楷体" w:eastAsia="楷体" w:cs="楷体"/>
                <w:b/>
                <w:bCs w:val="0"/>
                <w:color w:val="000000"/>
                <w:sz w:val="24"/>
                <w:szCs w:val="24"/>
                <w:lang w:val="en-US" w:eastAsia="zh-CN"/>
              </w:rPr>
            </w:pPr>
            <w:r>
              <w:rPr>
                <w:rFonts w:hint="eastAsia" w:ascii="楷体" w:hAnsi="楷体" w:eastAsia="楷体" w:cs="楷体"/>
                <w:b/>
                <w:bCs w:val="0"/>
                <w:color w:val="000000"/>
                <w:sz w:val="24"/>
                <w:szCs w:val="24"/>
                <w:lang w:val="en-US" w:eastAsia="zh-CN"/>
              </w:rPr>
              <w:t>本任务教学内容需要敦煌网订单和教师一对一或一对多订单处理与发货实战指导支撑，没有真实的敦煌网账号和订单、真实的跨境物流和真实的REP账号，处理订单时无人在旁指导，该部分内容讲得再好，学生都可能停留在理论印象阶段，学不会真实订单处理与发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C7978"/>
    <w:multiLevelType w:val="singleLevel"/>
    <w:tmpl w:val="947C7978"/>
    <w:lvl w:ilvl="0" w:tentative="0">
      <w:start w:val="1"/>
      <w:numFmt w:val="chineseCounting"/>
      <w:suff w:val="nothing"/>
      <w:lvlText w:val="%1、"/>
      <w:lvlJc w:val="left"/>
      <w:rPr>
        <w:rFonts w:hint="eastAsia"/>
      </w:rPr>
    </w:lvl>
  </w:abstractNum>
  <w:abstractNum w:abstractNumId="1">
    <w:nsid w:val="1DEC7137"/>
    <w:multiLevelType w:val="singleLevel"/>
    <w:tmpl w:val="1DEC7137"/>
    <w:lvl w:ilvl="0" w:tentative="0">
      <w:start w:val="1"/>
      <w:numFmt w:val="chineseCounting"/>
      <w:suff w:val="nothing"/>
      <w:lvlText w:val="%1、"/>
      <w:lvlJc w:val="left"/>
      <w:rPr>
        <w:rFonts w:hint="eastAsia"/>
      </w:rPr>
    </w:lvl>
  </w:abstractNum>
  <w:abstractNum w:abstractNumId="2">
    <w:nsid w:val="28D7674B"/>
    <w:multiLevelType w:val="singleLevel"/>
    <w:tmpl w:val="28D7674B"/>
    <w:lvl w:ilvl="0" w:tentative="0">
      <w:start w:val="3"/>
      <w:numFmt w:val="chineseCounting"/>
      <w:suff w:val="nothing"/>
      <w:lvlText w:val="（%1）"/>
      <w:lvlJc w:val="left"/>
      <w:rPr>
        <w:rFonts w:hint="eastAsia"/>
      </w:rPr>
    </w:lvl>
  </w:abstractNum>
  <w:abstractNum w:abstractNumId="3">
    <w:nsid w:val="3803D936"/>
    <w:multiLevelType w:val="singleLevel"/>
    <w:tmpl w:val="3803D936"/>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F05E9"/>
    <w:rsid w:val="045F05E9"/>
    <w:rsid w:val="0A130045"/>
    <w:rsid w:val="3E7C7DCA"/>
    <w:rsid w:val="43011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2020-01-07T08:07:00Z</dcterms:created>
  <dc:creator>Administrator</dc:creator>
  <cp:lastModifiedBy>Administrator</cp:lastModifiedBy>
  <dcterms:modified xsi:type="dcterms:W3CDTF">2020-01-07T08:26:21Z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